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640"/>
      </w:pPr>
    </w:p>
    <w:p>
      <w:pPr>
        <w:shd w:fill="F0F7F8"/>
        <w:spacing w:before="360" w:after="360"/>
      </w:pPr>
      <w:r>
        <w:rPr>
          <w:color w:val="087F8C"/>
          <w:sz w:val="20"/>
        </w:rPr>
        <w:t>SECURITY ASSESSMENT</w:t>
      </w:r>
    </w:p>
    <w:p>
      <w:pPr>
        <w:pStyle w:val="Title"/>
      </w:pPr>
      <w:r>
        <w:rPr>
          <w:sz w:val="72"/>
        </w:rPr>
        <w:t>Atlas Portal Security Assessment</w:t>
      </w:r>
    </w:p>
    <w:p>
      <w:pPr>
        <w:pStyle w:val="Subtitle"/>
      </w:pPr>
      <w:r>
        <w:t>Web application &amp; API</w:t>
      </w:r>
    </w:p>
    <w:p>
      <w:pPr>
        <w:spacing w:after="440"/>
      </w:pPr>
      <w:r>
        <w:t>Atlas Technologies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6480"/>
      </w:tblGrid>
      <w:tr>
        <w:trPr>
          <w:tblHeader/>
        </w:trPr>
        <w:tc>
          <w:tcPr>
            <w:tcW w:type="dxa" w:w="2880"/>
            <w:shd w:fill="191B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  <w:color w:val="FFFFFF"/>
                <w:sz w:val="18"/>
              </w:rPr>
              <w:t>Document control</w:t>
            </w:r>
          </w:p>
        </w:tc>
        <w:tc>
          <w:tcPr>
            <w:tcW w:type="dxa" w:w="6480"/>
            <w:shd w:fill="191B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  <w:color w:val="FFFFFF"/>
                <w:sz w:val="18"/>
              </w:rPr>
              <w:t>Details</w:t>
            </w:r>
          </w:p>
        </w:tc>
      </w:tr>
      <w:tr>
        <w:tc>
          <w:tcPr>
            <w:tcW w:type="dxa" w:w="2880"/>
            <w:shd w:fill="F2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t>Prepared for</w:t>
            </w:r>
          </w:p>
        </w:tc>
        <w:tc>
          <w:tcPr>
            <w:tcW w:type="dxa" w:w="6480"/>
            <w:shd w:fill="F2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t>Atlas Technologies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t>Prepared by</w:t>
            </w:r>
          </w:p>
        </w:tc>
        <w:tc>
          <w:tcPr>
            <w:tcW w:type="dxa" w:w="64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t>Morgan Reed</w:t>
            </w:r>
          </w:p>
        </w:tc>
      </w:tr>
      <w:tr>
        <w:tc>
          <w:tcPr>
            <w:tcW w:type="dxa" w:w="2880"/>
            <w:shd w:fill="F2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t>Author</w:t>
            </w:r>
          </w:p>
        </w:tc>
        <w:tc>
          <w:tcPr>
            <w:tcW w:type="dxa" w:w="6480"/>
            <w:shd w:fill="F2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t>Morgan Reed · Demo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t>Assessment dates</w:t>
            </w:r>
          </w:p>
        </w:tc>
        <w:tc>
          <w:tcPr>
            <w:tcW w:type="dxa" w:w="64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t>2026-10-05 to 2026-10-09</w:t>
            </w:r>
          </w:p>
        </w:tc>
      </w:tr>
      <w:tr>
        <w:tc>
          <w:tcPr>
            <w:tcW w:type="dxa" w:w="2880"/>
            <w:shd w:fill="F2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t>Report version</w:t>
            </w:r>
          </w:p>
        </w:tc>
        <w:tc>
          <w:tcPr>
            <w:tcW w:type="dxa" w:w="6480"/>
            <w:shd w:fill="F2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t>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t>Report type</w:t>
            </w:r>
          </w:p>
        </w:tc>
        <w:tc>
          <w:tcPr>
            <w:tcW w:type="dxa" w:w="64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t>Technical report</w:t>
            </w:r>
          </w:p>
        </w:tc>
      </w:tr>
      <w:tr>
        <w:tc>
          <w:tcPr>
            <w:tcW w:type="dxa" w:w="2880"/>
            <w:shd w:fill="F2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t>Classification</w:t>
            </w:r>
          </w:p>
        </w:tc>
        <w:tc>
          <w:tcPr>
            <w:tcW w:type="dxa" w:w="6480"/>
            <w:shd w:fill="F2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t>Synthetic demonstration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t>Report profile</w:t>
            </w:r>
          </w:p>
        </w:tc>
        <w:tc>
          <w:tcPr>
            <w:tcW w:type="dxa" w:w="64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t>Modern · Northstar</w:t>
            </w:r>
          </w:p>
        </w:tc>
      </w:tr>
      <w:tr>
        <w:tc>
          <w:tcPr>
            <w:tcW w:type="dxa" w:w="2880"/>
            <w:shd w:fill="F2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t>Template</w:t>
            </w:r>
          </w:p>
        </w:tc>
        <w:tc>
          <w:tcPr>
            <w:tcW w:type="dxa" w:w="6480"/>
            <w:shd w:fill="F2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t>pxl-standard-v1</w:t>
            </w:r>
          </w:p>
        </w:tc>
      </w:tr>
    </w:tbl>
    <w:p>
      <w:pPr>
        <w:spacing w:after="40"/>
      </w:pPr>
    </w:p>
    <w:p>
      <w:r>
        <w:t>Fictional assessment. No customer or live target data.</w:t>
      </w:r>
    </w:p>
    <w:p>
      <w:r>
        <w:t>Synthetic demonstration engagement. All organizations, endpoints, observations and evidence are illustrative.</w:t>
      </w:r>
    </w:p>
    <w:p>
      <w:pPr>
        <w:pStyle w:val="ContentsTitle"/>
        <w:pageBreakBefore/>
      </w:pPr>
      <w:r>
        <w:t>Contents</w:t>
      </w:r>
    </w:p>
    <w:p>
      <w:r>
        <w:fldChar w:fldCharType="begin"/>
        <w:instrText xml:space="preserve"> TOC \o "1-1" \h \z \u </w:instrText>
        <w:fldChar w:fldCharType="separate"/>
      </w:r>
      <w:r>
        <w:t>Executive summary</w:t>
        <w:br/>
        <w:t>Scope and approach</w:t>
        <w:br/>
        <w:t>Finding register</w:t>
        <w:br/>
        <w:t>F01  Broken object-level authorization</w:t>
        <w:br/>
        <w:t>F02  Missing browser security headers</w:t>
        <w:br/>
        <w:t>Remediation register</w:t>
        <w:br/>
        <w:t>Evidence manifest</w:t>
      </w:r>
      <w:r>
        <w:fldChar w:fldCharType="end"/>
      </w:r>
    </w:p>
    <w:p>
      <w:bookmarkStart w:id="1" w:name="pxs_summary"/>
      <w:pPr>
        <w:pStyle w:val="Heading1"/>
        <w:pageBreakBefore/>
      </w:pPr>
      <w:r>
        <w:t>Executive summary</w:t>
      </w:r>
      <w:bookmarkEnd w:id="1"/>
    </w:p>
    <w:p>
      <w:pPr/>
      <w:r>
        <w:rPr/>
        <w:t>The assessment identified an authorization weakness that allowed one synthetic customer to read another customer's invoice. A separate observation concerned browser security headers.</w:t>
      </w:r>
    </w:p>
    <w:p>
      <w:pPr/>
      <w:r>
        <w:rPr/>
        <w:t>Prioritize consistent object-level authorization at the API boundary. Add regression tests for access across accounts and verify fixes in the assessed environment before closure.</w:t>
      </w:r>
    </w:p>
    <w:p>
      <w:pPr>
        <w:pStyle w:val="Heading2"/>
      </w:pPr>
      <w:r>
        <w:t>Included findings by severity</w:t>
      </w:r>
    </w:p>
    <w:p>
      <w:r>
        <w:drawing>
          <wp:inline xmlns:a="http://schemas.openxmlformats.org/drawingml/2006/main" xmlns:pic="http://schemas.openxmlformats.org/drawingml/2006/picture">
            <wp:extent cx="5852160" cy="142123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14212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bookmarkStart w:id="2" w:name="pxs_scope"/>
      <w:pPr>
        <w:pStyle w:val="Heading1"/>
        <w:pageBreakBefore/>
      </w:pPr>
      <w:r>
        <w:t>Scope and approach</w:t>
      </w:r>
      <w:bookmarkEnd w:id="2"/>
    </w:p>
    <w:p>
      <w:pPr>
        <w:pStyle w:val="Heading2"/>
      </w:pPr>
      <w:r>
        <w:t>In scope</w:t>
      </w:r>
    </w:p>
    <w:p>
      <w:r>
        <w:t>portal.atlas.example.test</w:t>
        <w:br/>
        <w:t>api.atlas.example.test</w:t>
        <w:br/>
        <w:t>Authenticated customer and workspace-administrator roles.</w:t>
      </w:r>
    </w:p>
    <w:p>
      <w:pPr>
        <w:pStyle w:val="Heading2"/>
      </w:pPr>
      <w:r>
        <w:t>Out of scope</w:t>
      </w:r>
    </w:p>
    <w:p>
      <w:r>
        <w:t>Production systems, payment processing and third-party services.</w:t>
      </w:r>
    </w:p>
    <w:p>
      <w:pPr>
        <w:pStyle w:val="Heading2"/>
      </w:pPr>
      <w:r>
        <w:t>Methodology</w:t>
      </w:r>
    </w:p>
    <w:p>
      <w:r>
        <w:t>A time-limited manual assessment of the synthetic web application and API. Testing compared access between two customer accounts and inspected representative HTTP responses.</w:t>
      </w:r>
    </w:p>
    <w:p>
      <w:pPr>
        <w:pStyle w:val="Heading2"/>
      </w:pPr>
      <w:r>
        <w:t>Limitations</w:t>
      </w:r>
    </w:p>
    <w:p>
      <w:r>
        <w:t>This is a synthetic sample workspace. It does not describe a real security assessment.</w:t>
        <w:br/>
        <w:t>Примерен доклад с ясни доказателства и препоръки.</w:t>
      </w:r>
    </w:p>
    <w:p>
      <w:bookmarkStart w:id="3" w:name="pxs_register"/>
      <w:pPr>
        <w:pStyle w:val="Heading1"/>
        <w:pageBreakBefore/>
      </w:pPr>
      <w:r>
        <w:t>Finding register</w:t>
      </w:r>
      <w:bookmarkEnd w:id="3"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36"/>
        <w:gridCol w:w="4608"/>
        <w:gridCol w:w="1296"/>
        <w:gridCol w:w="2520"/>
      </w:tblGrid>
      <w:tr>
        <w:trPr>
          <w:tblHeader/>
        </w:trPr>
        <w:tc>
          <w:tcPr>
            <w:tcW w:type="dxa" w:w="936"/>
            <w:shd w:fill="191B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  <w:color w:val="FFFFFF"/>
                <w:sz w:val="18"/>
              </w:rPr>
              <w:t>ID</w:t>
            </w:r>
          </w:p>
        </w:tc>
        <w:tc>
          <w:tcPr>
            <w:tcW w:type="dxa" w:w="4608"/>
            <w:shd w:fill="191B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  <w:color w:val="FFFFFF"/>
                <w:sz w:val="18"/>
              </w:rPr>
              <w:t>Finding</w:t>
            </w:r>
          </w:p>
        </w:tc>
        <w:tc>
          <w:tcPr>
            <w:tcW w:type="dxa" w:w="1296"/>
            <w:shd w:fill="191B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  <w:color w:val="FFFFFF"/>
                <w:sz w:val="18"/>
              </w:rPr>
              <w:t>Severity</w:t>
            </w:r>
          </w:p>
        </w:tc>
        <w:tc>
          <w:tcPr>
            <w:tcW w:type="dxa" w:w="2520"/>
            <w:shd w:fill="191B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  <w:color w:val="FFFFFF"/>
                <w:sz w:val="18"/>
              </w:rPr>
              <w:t>Validation</w:t>
            </w:r>
          </w:p>
        </w:tc>
      </w:tr>
      <w:tr>
        <w:tc>
          <w:tcPr>
            <w:tcW w:type="dxa" w:w="936"/>
            <w:shd w:fill="F2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t>F01</w:t>
            </w:r>
          </w:p>
        </w:tc>
        <w:tc>
          <w:tcPr>
            <w:tcW w:type="dxa" w:w="4608"/>
            <w:shd w:fill="F2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t>Broken object-level authorization</w:t>
            </w:r>
          </w:p>
        </w:tc>
        <w:tc>
          <w:tcPr>
            <w:tcW w:type="dxa" w:w="1296"/>
            <w:shd w:fill="FFE8E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/>
                <w:color w:val="9A281F"/>
              </w:rPr>
              <w:t>High</w:t>
            </w:r>
          </w:p>
        </w:tc>
        <w:tc>
          <w:tcPr>
            <w:tcW w:type="dxa" w:w="2520"/>
            <w:shd w:fill="F2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t>Confirmed</w:t>
            </w:r>
          </w:p>
        </w:tc>
      </w:tr>
      <w:tr>
        <w:tc>
          <w:tcPr>
            <w:tcW w:type="dxa" w:w="9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t>F02</w:t>
            </w:r>
          </w:p>
        </w:tc>
        <w:tc>
          <w:tcPr>
            <w:tcW w:type="dxa" w:w="46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t>Missing browser security headers</w:t>
            </w:r>
          </w:p>
        </w:tc>
        <w:tc>
          <w:tcPr>
            <w:tcW w:type="dxa" w:w="1296"/>
            <w:shd w:fill="E3F2F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/>
                <w:color w:val="1C526D"/>
              </w:rPr>
              <w:t>Low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t>Unverified</w:t>
            </w:r>
          </w:p>
        </w:tc>
      </w:tr>
    </w:tbl>
    <w:p>
      <w:pPr>
        <w:spacing w:after="40"/>
      </w:pPr>
    </w:p>
    <w:p>
      <w:r>
        <w:t>Severity describes the recorded assessment judgment. Technical validation and remediation status are tracked separately; approval of this document does not establish remediation.</w:t>
      </w:r>
    </w:p>
    <w:p>
      <w:bookmarkStart w:id="5" w:name="pxf_20b6bc5244414847b7be2fb7bdb67ea4"/>
      <w:bookmarkStart w:id="4" w:name="pxs_findings"/>
      <w:pPr>
        <w:pStyle w:val="Heading1"/>
        <w:pageBreakBefore/>
      </w:pPr>
      <w:r>
        <w:t>F01  Broken object-level authorization</w:t>
      </w:r>
      <w:bookmarkEnd w:id="4"/>
      <w:bookmarkEnd w:id="5"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84"/>
        <w:gridCol w:w="2016"/>
        <w:gridCol w:w="2160"/>
        <w:gridCol w:w="3600"/>
      </w:tblGrid>
      <w:tr>
        <w:trPr>
          <w:tblHeader/>
        </w:trPr>
        <w:tc>
          <w:tcPr>
            <w:tcW w:type="dxa" w:w="1584"/>
            <w:shd w:fill="191B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  <w:color w:val="FFFFFF"/>
                <w:sz w:val="18"/>
              </w:rPr>
              <w:t>Severity</w:t>
            </w:r>
          </w:p>
        </w:tc>
        <w:tc>
          <w:tcPr>
            <w:tcW w:type="dxa" w:w="2016"/>
            <w:shd w:fill="191B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  <w:color w:val="FFFFFF"/>
                <w:sz w:val="18"/>
              </w:rPr>
              <w:t>Validation</w:t>
            </w:r>
          </w:p>
        </w:tc>
        <w:tc>
          <w:tcPr>
            <w:tcW w:type="dxa" w:w="2160"/>
            <w:shd w:fill="191B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  <w:color w:val="FFFFFF"/>
                <w:sz w:val="18"/>
              </w:rPr>
              <w:t>Remediation</w:t>
            </w:r>
          </w:p>
        </w:tc>
        <w:tc>
          <w:tcPr>
            <w:tcW w:type="dxa" w:w="3600"/>
            <w:shd w:fill="191B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  <w:color w:val="FFFFFF"/>
                <w:sz w:val="18"/>
              </w:rPr>
              <w:t>Reference</w:t>
            </w:r>
          </w:p>
        </w:tc>
      </w:tr>
      <w:tr>
        <w:tc>
          <w:tcPr>
            <w:tcW w:type="dxa" w:w="1584"/>
            <w:shd w:fill="FFE8E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/>
                <w:color w:val="9A281F"/>
              </w:rPr>
              <w:t>High</w:t>
            </w:r>
          </w:p>
        </w:tc>
        <w:tc>
          <w:tcPr>
            <w:tcW w:type="dxa" w:w="2016"/>
            <w:shd w:fill="F2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t>Confirmed</w:t>
            </w:r>
          </w:p>
        </w:tc>
        <w:tc>
          <w:tcPr>
            <w:tcW w:type="dxa" w:w="2160"/>
            <w:shd w:fill="F2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t>Open</w:t>
            </w:r>
          </w:p>
        </w:tc>
        <w:tc>
          <w:tcPr>
            <w:tcW w:type="dxa" w:w="3600"/>
            <w:shd w:fill="F2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t>CWE-639</w:t>
            </w:r>
          </w:p>
        </w:tc>
      </w:tr>
    </w:tbl>
    <w:p>
      <w:pPr>
        <w:spacing w:after="40"/>
      </w:pPr>
    </w:p>
    <w:p>
      <w:pPr>
        <w:pStyle w:val="Heading2"/>
      </w:pPr>
      <w:r>
        <w:t>Affected assets</w:t>
      </w:r>
    </w:p>
    <w:p>
      <w:r>
        <w:t>https://api.atlas.example.test/v1/invoices/1042</w:t>
      </w:r>
    </w:p>
    <w:p>
      <w:pPr>
        <w:pStyle w:val="Heading2"/>
      </w:pPr>
      <w:r>
        <w:t>Description</w:t>
      </w:r>
    </w:p>
    <w:p>
      <w:pPr/>
      <w:r>
        <w:rPr/>
        <w:t>The synthetic invoice endpoint returned customer B's invoice when called using customer A's session. Changing the object identifier crossed the intended customer boundary.</w:t>
      </w:r>
    </w:p>
    <w:p>
      <w:pPr>
        <w:pStyle w:val="Heading2"/>
      </w:pPr>
      <w:r>
        <w:t>Impact</w:t>
      </w:r>
    </w:p>
    <w:p>
      <w:pPr/>
      <w:r>
        <w:rPr/>
        <w:t>In this fixture, a customer could read another customer's invoice identifier and amount. The observation demonstrates unauthorized data access; invoice modification and production impact were not assessed.</w:t>
      </w:r>
    </w:p>
    <w:p>
      <w:pPr>
        <w:pStyle w:val="Heading2"/>
      </w:pPr>
      <w:r>
        <w:t>Proof of concept</w:t>
      </w:r>
    </w:p>
    <w:p>
      <w:pPr>
        <w:pStyle w:val="Evidence"/>
      </w:pPr>
      <w:r>
        <w:t>1. Authenticate as synthetic customer A.</w:t>
      </w:r>
    </w:p>
    <w:p>
      <w:pPr>
        <w:pStyle w:val="Evidence"/>
      </w:pPr>
      <w:r>
        <w:t>2. Request customer B's fixture invoice.</w:t>
      </w:r>
    </w:p>
    <w:p>
      <w:pPr>
        <w:pStyle w:val="Evidence"/>
      </w:pPr>
      <w:r>
        <w:t>3. Observe the invoice returned without an ownership check.</w:t>
      </w:r>
    </w:p>
    <w:p>
      <w:pPr>
        <w:pStyle w:val="Evidence"/>
      </w:pPr>
      <w:r>
        <w:t xml:space="preserve"> </w:t>
      </w:r>
    </w:p>
    <w:p>
      <w:pPr>
        <w:pStyle w:val="Evidence"/>
      </w:pPr>
      <w:r>
        <w:t>GET /v1/invoices/1042 HTTP/1.1</w:t>
      </w:r>
    </w:p>
    <w:p>
      <w:pPr>
        <w:pStyle w:val="Evidence"/>
      </w:pPr>
      <w:r>
        <w:t>Host: api.atlas.example.test</w:t>
      </w:r>
    </w:p>
    <w:p>
      <w:pPr>
        <w:pStyle w:val="Evidence"/>
      </w:pPr>
      <w:r>
        <w:t>Authorization: Bearer [REDACTED]</w:t>
      </w:r>
    </w:p>
    <w:p>
      <w:pPr>
        <w:pStyle w:val="Evidence"/>
      </w:pPr>
      <w:r>
        <w:t xml:space="preserve"> </w:t>
      </w:r>
    </w:p>
    <w:p>
      <w:pPr>
        <w:pStyle w:val="Evidence"/>
      </w:pPr>
      <w:r>
        <w:t>HTTP/1.1 200 OK</w:t>
      </w:r>
    </w:p>
    <w:p>
      <w:pPr>
        <w:pStyle w:val="Evidence"/>
      </w:pPr>
      <w:r>
        <w:t>Content-Type: application/json</w:t>
      </w:r>
    </w:p>
    <w:p>
      <w:pPr>
        <w:pStyle w:val="Evidence"/>
      </w:pPr>
      <w:r>
        <w:t xml:space="preserve"> </w:t>
      </w:r>
    </w:p>
    <w:p>
      <w:pPr>
        <w:pStyle w:val="Evidence"/>
      </w:pPr>
      <w:r>
        <w:t>{"invoice_id":1042,"customer":"synthetic-customer-b","total":"120.00"}</w:t>
      </w:r>
    </w:p>
    <w:p>
      <w:bookmarkStart w:id="6" w:name="pxe_7d7ce6a14efe435f9eb99b1f29ec4d9d"/>
      <w:pPr>
        <w:pStyle w:val="Heading3"/>
      </w:pPr>
      <w:r>
        <w:t>Evidence F01.1</w:t>
      </w:r>
      <w:bookmarkEnd w:id="6"/>
    </w:p>
    <w:p>
      <w:pPr>
        <w:keepNext/>
      </w:pPr>
      <w:r>
        <w:drawing>
          <wp:inline xmlns:a="http://schemas.openxmlformats.org/drawingml/2006/main" xmlns:pic="http://schemas.openxmlformats.org/drawingml/2006/picture">
            <wp:extent cx="5852160" cy="297484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29748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Synthetic HTTP capture illustrating an invoice returned across the customer boundary.</w:t>
      </w:r>
    </w:p>
    <w:p>
      <w:pPr>
        <w:pStyle w:val="Heading2"/>
      </w:pPr>
      <w:r>
        <w:t>Remediation</w:t>
      </w:r>
    </w:p>
    <w:p>
      <w:pPr/>
      <w:r>
        <w:rPr/>
        <w:t>Enforce server-side authorization for every object access. Derive the permitted object set from the authenticated identity, deny by default, and add regression tests for cross-user access.</w:t>
      </w:r>
    </w:p>
    <w:p>
      <w:bookmarkStart w:id="7" w:name="pxf_df481ab40a254392bbb6e8f797b46ed4"/>
      <w:pPr>
        <w:pStyle w:val="Heading1"/>
        <w:pageBreakBefore/>
      </w:pPr>
      <w:r>
        <w:t>F02  Missing browser security headers</w:t>
      </w:r>
      <w:bookmarkEnd w:id="7"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84"/>
        <w:gridCol w:w="2016"/>
        <w:gridCol w:w="2160"/>
        <w:gridCol w:w="3600"/>
      </w:tblGrid>
      <w:tr>
        <w:trPr>
          <w:tblHeader/>
        </w:trPr>
        <w:tc>
          <w:tcPr>
            <w:tcW w:type="dxa" w:w="1584"/>
            <w:shd w:fill="191B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  <w:color w:val="FFFFFF"/>
                <w:sz w:val="18"/>
              </w:rPr>
              <w:t>Severity</w:t>
            </w:r>
          </w:p>
        </w:tc>
        <w:tc>
          <w:tcPr>
            <w:tcW w:type="dxa" w:w="2016"/>
            <w:shd w:fill="191B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  <w:color w:val="FFFFFF"/>
                <w:sz w:val="18"/>
              </w:rPr>
              <w:t>Validation</w:t>
            </w:r>
          </w:p>
        </w:tc>
        <w:tc>
          <w:tcPr>
            <w:tcW w:type="dxa" w:w="2160"/>
            <w:shd w:fill="191B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  <w:color w:val="FFFFFF"/>
                <w:sz w:val="18"/>
              </w:rPr>
              <w:t>Remediation</w:t>
            </w:r>
          </w:p>
        </w:tc>
        <w:tc>
          <w:tcPr>
            <w:tcW w:type="dxa" w:w="3600"/>
            <w:shd w:fill="191B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  <w:color w:val="FFFFFF"/>
                <w:sz w:val="18"/>
              </w:rPr>
              <w:t>Reference</w:t>
            </w:r>
          </w:p>
        </w:tc>
      </w:tr>
      <w:tr>
        <w:tc>
          <w:tcPr>
            <w:tcW w:type="dxa" w:w="1584"/>
            <w:shd w:fill="E3F2F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/>
                <w:color w:val="1C526D"/>
              </w:rPr>
              <w:t>Low</w:t>
            </w:r>
          </w:p>
        </w:tc>
        <w:tc>
          <w:tcPr>
            <w:tcW w:type="dxa" w:w="2016"/>
            <w:shd w:fill="F2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t>Unverified</w:t>
            </w:r>
          </w:p>
        </w:tc>
        <w:tc>
          <w:tcPr>
            <w:tcW w:type="dxa" w:w="2160"/>
            <w:shd w:fill="F2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t>Open</w:t>
            </w:r>
          </w:p>
        </w:tc>
        <w:tc>
          <w:tcPr>
            <w:tcW w:type="dxa" w:w="3600"/>
            <w:shd w:fill="F2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t>CWE-693</w:t>
            </w:r>
          </w:p>
        </w:tc>
      </w:tr>
    </w:tbl>
    <w:p>
      <w:pPr>
        <w:spacing w:after="40"/>
      </w:pPr>
    </w:p>
    <w:p>
      <w:pPr>
        <w:pStyle w:val="Heading2"/>
      </w:pPr>
      <w:r>
        <w:t>Affected assets</w:t>
      </w:r>
    </w:p>
    <w:p>
      <w:r>
        <w:t>https://portal.atlas.example.test/</w:t>
      </w:r>
    </w:p>
    <w:p>
      <w:pPr>
        <w:pStyle w:val="Heading2"/>
      </w:pPr>
      <w:r>
        <w:t>Description</w:t>
      </w:r>
    </w:p>
    <w:p>
      <w:pPr/>
      <w:r>
        <w:rPr/>
        <w:t>The synthetic portal response omitted Content-Security-Policy and X-Content-Type-Options. This observation covers the fixture response at the recorded URL.</w:t>
      </w:r>
    </w:p>
    <w:p>
      <w:pPr>
        <w:pStyle w:val="Heading2"/>
      </w:pPr>
      <w:r>
        <w:t>Impact</w:t>
      </w:r>
    </w:p>
    <w:p>
      <w:pPr/>
      <w:r>
        <w:rPr/>
        <w:t>The missing headers reduce browser defence-in-depth. No separate browser exploitation was demonstrated for this observation.</w:t>
      </w:r>
    </w:p>
    <w:p>
      <w:pPr>
        <w:pStyle w:val="Heading2"/>
      </w:pPr>
      <w:r>
        <w:t>Proof of concept</w:t>
      </w:r>
    </w:p>
    <w:p>
      <w:pPr>
        <w:pStyle w:val="Evidence"/>
      </w:pPr>
      <w:r>
        <w:t>GET / HTTP/1.1</w:t>
      </w:r>
    </w:p>
    <w:p>
      <w:pPr>
        <w:pStyle w:val="Evidence"/>
      </w:pPr>
      <w:r>
        <w:t>Host: portal.atlas.example.test</w:t>
      </w:r>
    </w:p>
    <w:p>
      <w:pPr>
        <w:pStyle w:val="Evidence"/>
      </w:pPr>
      <w:r>
        <w:t xml:space="preserve"> </w:t>
      </w:r>
    </w:p>
    <w:p>
      <w:pPr>
        <w:pStyle w:val="Evidence"/>
      </w:pPr>
      <w:r>
        <w:t>HTTP/1.1 200 OK</w:t>
      </w:r>
    </w:p>
    <w:p>
      <w:pPr>
        <w:pStyle w:val="Evidence"/>
      </w:pPr>
      <w:r>
        <w:t>Content-Type: text/html</w:t>
      </w:r>
    </w:p>
    <w:p>
      <w:pPr>
        <w:pStyle w:val="Evidence"/>
      </w:pPr>
      <w:r>
        <w:t xml:space="preserve"> </w:t>
      </w:r>
    </w:p>
    <w:p>
      <w:pPr>
        <w:pStyle w:val="Evidence"/>
      </w:pPr>
      <w:r>
        <w:t>The fixture response omits Content-Security-Policy and X-Content-Type-Options.</w:t>
      </w:r>
    </w:p>
    <w:p>
      <w:pPr>
        <w:pStyle w:val="Heading2"/>
      </w:pPr>
      <w:r>
        <w:t>Remediation</w:t>
      </w:r>
    </w:p>
    <w:p>
      <w:pPr/>
      <w:r>
        <w:rPr/>
        <w:t>Configure the appropriate headers at the application or gateway, verify them on representative responses, and monitor for regressions.</w:t>
      </w:r>
    </w:p>
    <w:p>
      <w:bookmarkStart w:id="8" w:name="pxs_remediation"/>
      <w:pPr>
        <w:pStyle w:val="Heading1"/>
        <w:pageBreakBefore/>
      </w:pPr>
      <w:r>
        <w:t>Remediation register</w:t>
      </w:r>
      <w:bookmarkEnd w:id="8"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8"/>
        <w:gridCol w:w="5616"/>
        <w:gridCol w:w="2736"/>
      </w:tblGrid>
      <w:tr>
        <w:trPr>
          <w:tblHeader/>
        </w:trPr>
        <w:tc>
          <w:tcPr>
            <w:tcW w:type="dxa" w:w="1008"/>
            <w:shd w:fill="191B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  <w:color w:val="FFFFFF"/>
                <w:sz w:val="18"/>
              </w:rPr>
              <w:t>ID</w:t>
            </w:r>
          </w:p>
        </w:tc>
        <w:tc>
          <w:tcPr>
            <w:tcW w:type="dxa" w:w="5616"/>
            <w:shd w:fill="191B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  <w:color w:val="FFFFFF"/>
                <w:sz w:val="18"/>
              </w:rPr>
              <w:t>Finding</w:t>
            </w:r>
          </w:p>
        </w:tc>
        <w:tc>
          <w:tcPr>
            <w:tcW w:type="dxa" w:w="2736"/>
            <w:shd w:fill="191B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  <w:color w:val="FFFFFF"/>
                <w:sz w:val="18"/>
              </w:rPr>
              <w:t>Remediation state</w:t>
            </w:r>
          </w:p>
        </w:tc>
      </w:tr>
      <w:tr>
        <w:tc>
          <w:tcPr>
            <w:tcW w:type="dxa" w:w="1008"/>
            <w:shd w:fill="F2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t>F01</w:t>
            </w:r>
          </w:p>
        </w:tc>
        <w:tc>
          <w:tcPr>
            <w:tcW w:type="dxa" w:w="5616"/>
            <w:shd w:fill="F2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t>Broken object-level authorization</w:t>
            </w:r>
          </w:p>
        </w:tc>
        <w:tc>
          <w:tcPr>
            <w:tcW w:type="dxa" w:w="2736"/>
            <w:shd w:fill="F2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t>Open</w:t>
            </w:r>
          </w:p>
        </w:tc>
      </w:tr>
      <w:t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t>F02</w:t>
            </w:r>
          </w:p>
        </w:tc>
        <w:tc>
          <w:tcPr>
            <w:tcW w:type="dxa" w:w="56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t>Missing browser security headers</w:t>
            </w:r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t>Open</w:t>
            </w:r>
          </w:p>
        </w:tc>
      </w:tr>
    </w:tbl>
    <w:p>
      <w:pPr>
        <w:spacing w:after="40"/>
      </w:pPr>
    </w:p>
    <w:p>
      <w:r>
        <w:t>Retesting should record the build and environment, the verification steps, the result and the supporting evidence before a finding is closed.</w:t>
      </w:r>
    </w:p>
    <w:p>
      <w:bookmarkStart w:id="9" w:name="pxs_manifest"/>
      <w:pPr>
        <w:pStyle w:val="Heading1"/>
        <w:pageBreakBefore/>
      </w:pPr>
      <w:r>
        <w:t>Evidence manifest</w:t>
      </w:r>
      <w:bookmarkEnd w:id="9"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888"/>
        <w:gridCol w:w="5472"/>
      </w:tblGrid>
      <w:tr>
        <w:trPr>
          <w:tblHeader/>
        </w:trPr>
        <w:tc>
          <w:tcPr>
            <w:tcW w:type="dxa" w:w="3888"/>
            <w:shd w:fill="191B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  <w:color w:val="FFFFFF"/>
                <w:sz w:val="18"/>
              </w:rPr>
              <w:t>Evidence</w:t>
            </w:r>
          </w:p>
        </w:tc>
        <w:tc>
          <w:tcPr>
            <w:tcW w:type="dxa" w:w="5472"/>
            <w:shd w:fill="191B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  <w:color w:val="FFFFFF"/>
                <w:sz w:val="18"/>
              </w:rPr>
              <w:t>SHA 256</w:t>
            </w:r>
          </w:p>
        </w:tc>
      </w:tr>
      <w:tr>
        <w:tc>
          <w:tcPr>
            <w:tcW w:type="dxa" w:w="3888"/>
            <w:shd w:fill="F2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t>F01.1  atlas-authorization-fixture.png</w:t>
            </w:r>
          </w:p>
        </w:tc>
        <w:tc>
          <w:tcPr>
            <w:tcW w:type="dxa" w:w="5472"/>
            <w:shd w:fill="F2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t>169b2bc68c3a243c11a816507b31ca71</w:t>
              <w:br/>
              <w:t>4176e20cdbc3690194e30963bca3c173</w:t>
            </w:r>
          </w:p>
        </w:tc>
      </w:tr>
    </w:tbl>
    <w:p>
      <w:pPr>
        <w:spacing w:after="40"/>
      </w:pPr>
    </w:p>
    <w:p>
      <w:r>
        <w:t>Hashes identify the recorded bytes. They do not independently establish the origin or truth of an observation.</w:t>
      </w:r>
    </w:p>
    <w:p>
      <w:pPr>
        <w:pStyle w:val="ClosingTitle"/>
        <w:pageBreakBefore/>
        <w:spacing w:before="1080" w:after="440"/>
      </w:pPr>
      <w:r>
        <w:t>A clear path to remediation</w:t>
      </w:r>
    </w:p>
    <w:p>
      <w:r>
        <w:t>Prioritise the confirmed access-control issue. Validate the fix with the original reproduction steps and record the retest outcome.</w:t>
      </w:r>
    </w:p>
    <w:p>
      <w:pPr>
        <w:spacing w:before="560"/>
      </w:pPr>
      <w:r>
        <w:rPr>
          <w:b/>
        </w:rPr>
        <w:t>Morgan Reed</w:t>
      </w:r>
    </w:p>
    <w:p>
      <w:r>
        <w:t>security@example.test</w:t>
      </w:r>
    </w:p>
    <w:p>
      <w:r>
        <w:t>Atlas Technologies / Version 1 / Synthetic demonstration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080" w:right="1224" w:bottom="1080" w:left="1224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Synthetic demonstration  |  Security assessment  |  Version 1  |  </w:t>
    </w:r>
    <w:r>
      <w:rPr>
        <w:sz w:val="16"/>
      </w:rPr>
      <w:fldChar w:fldCharType="begin"/>
      <w:instrText xml:space="preserve"> PAGE </w:instrText>
      <w:fldChar w:fldCharType="separate"/>
    </w:r>
    <w:r>
      <w:rPr>
        <w:sz w:val="16"/>
      </w:rPr>
      <w:t>1</w:t>
    </w:r>
    <w:r>
      <w:rPr>
        <w:sz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087F8C"/>
        <w:sz w:val="16"/>
      </w:rPr>
      <w:t>Northstar Assurance  /  REPORTING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IBM Plex Sans" w:hAnsi="IBM Plex Sans"/>
      <w:color w:val="191B2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200"/>
      <w:outlineLvl w:val="0"/>
    </w:pPr>
    <w:rPr>
      <w:rFonts w:asciiTheme="majorHAnsi" w:eastAsiaTheme="majorEastAsia" w:hAnsiTheme="majorHAnsi" w:cstheme="majorBidi" w:ascii="Manrope" w:hAnsi="Manrope"/>
      <w:b/>
      <w:bCs/>
      <w:i w:val="0"/>
      <w:color w:val="000000"/>
      <w:sz w:val="46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200"/>
      <w:outlineLvl w:val="1"/>
    </w:pPr>
    <w:rPr>
      <w:rFonts w:asciiTheme="majorHAnsi" w:eastAsiaTheme="majorEastAsia" w:hAnsiTheme="majorHAnsi" w:cstheme="majorBidi" w:ascii="Manrope" w:hAnsi="Manrope"/>
      <w:b/>
      <w:bCs/>
      <w:i w:val="0"/>
      <w:color w:val="000000"/>
      <w:sz w:val="36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20" w:after="200"/>
      <w:outlineLvl w:val="2"/>
    </w:pPr>
    <w:rPr>
      <w:rFonts w:asciiTheme="majorHAnsi" w:eastAsiaTheme="majorEastAsia" w:hAnsiTheme="majorHAnsi" w:cstheme="majorBidi" w:ascii="Manrope" w:hAnsi="Manrope"/>
      <w:b/>
      <w:bCs/>
      <w:i w:val="0"/>
      <w:color w:val="000000"/>
      <w:sz w:val="30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320" w:after="200"/>
      <w:outlineLvl w:val="3"/>
    </w:pPr>
    <w:rPr>
      <w:rFonts w:asciiTheme="majorHAnsi" w:eastAsiaTheme="majorEastAsia" w:hAnsiTheme="majorHAnsi" w:cstheme="majorBidi" w:ascii="Manrope" w:hAnsi="Manrope"/>
      <w:b/>
      <w:bCs/>
      <w:i w:val="0"/>
      <w:iCs/>
      <w:color w:val="000000"/>
      <w:sz w:val="25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320" w:after="200"/>
      <w:outlineLvl w:val="4"/>
    </w:pPr>
    <w:rPr>
      <w:rFonts w:asciiTheme="majorHAnsi" w:eastAsiaTheme="majorEastAsia" w:hAnsiTheme="majorHAnsi" w:cstheme="majorBidi" w:ascii="Manrope" w:hAnsi="Manrope"/>
      <w:b/>
      <w:i w:val="0"/>
      <w:color w:val="000000"/>
      <w:sz w:val="23"/>
      <w:u w:val="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320" w:after="200"/>
      <w:outlineLvl w:val="5"/>
    </w:pPr>
    <w:rPr>
      <w:rFonts w:asciiTheme="majorHAnsi" w:eastAsiaTheme="majorEastAsia" w:hAnsiTheme="majorHAnsi" w:cstheme="majorBidi" w:ascii="Manrope" w:hAnsi="Manrope"/>
      <w:b/>
      <w:i w:val="0"/>
      <w:iCs/>
      <w:color w:val="000000"/>
      <w:sz w:val="22"/>
      <w:u w:val="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320" w:after="200"/>
      <w:outlineLvl w:val="6"/>
    </w:pPr>
    <w:rPr>
      <w:rFonts w:asciiTheme="majorHAnsi" w:eastAsiaTheme="majorEastAsia" w:hAnsiTheme="majorHAnsi" w:cstheme="majorBidi" w:ascii="Manrope" w:hAnsi="Manrope"/>
      <w:b/>
      <w:i w:val="0"/>
      <w:iCs/>
      <w:color w:val="000000"/>
      <w:sz w:val="21"/>
      <w:u w:val="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 w:before="320"/>
      <w:contextualSpacing/>
    </w:pPr>
    <w:rPr>
      <w:rFonts w:asciiTheme="majorHAnsi" w:eastAsiaTheme="majorEastAsia" w:hAnsiTheme="majorHAnsi" w:cstheme="majorBidi" w:ascii="Manrope" w:hAnsi="Manrope"/>
      <w:color w:val="000000"/>
      <w:spacing w:val="5"/>
      <w:kern w:val="28"/>
      <w:sz w:val="72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320" w:after="200"/>
    </w:pPr>
    <w:rPr>
      <w:rFonts w:asciiTheme="majorHAnsi" w:eastAsiaTheme="majorEastAsia" w:hAnsiTheme="majorHAnsi" w:cstheme="majorBidi" w:ascii="Manrope" w:hAnsi="Manrope"/>
      <w:i/>
      <w:iCs/>
      <w:color w:val="000000"/>
      <w:spacing w:val="15"/>
      <w:sz w:val="30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 w:before="100" w:after="200"/>
    </w:pPr>
    <w:rPr>
      <w:rFonts w:ascii="IBM Plex Sans" w:hAnsi="IBM Plex Sans"/>
      <w:b w:val="0"/>
      <w:bCs/>
      <w:i/>
      <w:color w:val="59616D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ntentsTitle">
    <w:name w:val="Contents Title"/>
    <w:basedOn w:val="Title"/>
    <w:rPr>
      <w:rFonts w:ascii="Manrope" w:hAnsi="Manrope"/>
      <w:color w:val="000000"/>
      <w:sz w:val="46"/>
    </w:rPr>
  </w:style>
  <w:style w:type="paragraph" w:customStyle="1" w:styleId="Evidence">
    <w:name w:val="Evidence"/>
    <w:pPr>
      <w:spacing w:after="0" w:line="220" w:lineRule="exact"/>
      <w:shd w:fill="F0F2F4"/>
    </w:pPr>
    <w:rPr>
      <w:rFonts w:ascii="IBM Plex Mono" w:hAnsi="IBM Plex Mono"/>
      <w:sz w:val="16"/>
    </w:rPr>
  </w:style>
  <w:style w:type="paragraph" w:customStyle="1" w:styleId="ClosingTitle">
    <w:name w:val="Closing Title"/>
    <w:basedOn w:val="Title"/>
    <w:rPr>
      <w:color w:val="000000"/>
      <w:sz w:val="6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Atlas Portal Security Assessment</dc:title>
  <dc:subject>Security assessment</dc:subject>
  <dc:creator>Northstar Assurance · Synthetic demo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